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567" w:right="88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INSTRUÇÕES PARA PREENCHIMENTO DA MINUTA DO ESTUDO TÉCNICO PRELIMINAR: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 w:ascii="Calibri" w:hAnsi="Calibri"/>
          <w:sz w:val="12"/>
          <w:szCs w:val="12"/>
        </w:rPr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Orientações Gerais</w:t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sz w:val="12"/>
          <w:szCs w:val="12"/>
          <w:u w:val="single"/>
        </w:rPr>
      </w:pPr>
      <w:r>
        <w:rPr>
          <w:rFonts w:eastAsia="Calibri" w:cs="Calibri" w:ascii="Calibri" w:hAnsi="Calibri"/>
          <w:sz w:val="12"/>
          <w:szCs w:val="12"/>
          <w:u w:val="single"/>
        </w:rPr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Normas aplicáveis:</w:t>
      </w:r>
    </w:p>
    <w:p>
      <w:pPr>
        <w:pStyle w:val="Normal1"/>
        <w:numPr>
          <w:ilvl w:val="1"/>
          <w:numId w:val="1"/>
        </w:numPr>
        <w:spacing w:lineRule="auto" w:line="360"/>
        <w:ind w:left="108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Lei Federal nº. 14.133, de 1º de abril de 2021 </w:t>
      </w:r>
    </w:p>
    <w:p>
      <w:pPr>
        <w:pStyle w:val="Normal1"/>
        <w:spacing w:lineRule="auto" w:line="360"/>
        <w:ind w:left="108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Conceito</w:t>
      </w:r>
      <w:r>
        <w:rPr>
          <w:rFonts w:eastAsia="Calibri" w:cs="Calibri" w:ascii="Calibri" w:hAnsi="Calibri"/>
          <w:sz w:val="22"/>
          <w:szCs w:val="22"/>
        </w:rPr>
        <w:t xml:space="preserve">: o ETP corresponde a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bookmarkStart w:id="0" w:name="_gjdgxs"/>
      <w:bookmarkStart w:id="1" w:name="_gjdgxs"/>
      <w:bookmarkEnd w:id="1"/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Quando fazer o ETP?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Regra: conforme a Lei nº 14.133, de 2021,, licitações para aquisições de bens e para a contratação de prestação de serviços, bem como as contratações diretas, deverão ser precedidas de Estudo Técnico Preliminar</w:t>
      </w:r>
      <w:r>
        <w:rPr>
          <w:rFonts w:eastAsia="Calibri" w:cs="Calibri" w:ascii="Calibri" w:hAnsi="Calibri"/>
          <w:b/>
          <w:sz w:val="22"/>
          <w:szCs w:val="22"/>
        </w:rPr>
        <w:t>.</w:t>
      </w:r>
    </w:p>
    <w:p>
      <w:pPr>
        <w:pStyle w:val="Normal1"/>
        <w:spacing w:lineRule="auto" w:line="360"/>
        <w:ind w:left="15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numPr>
          <w:ilvl w:val="2"/>
          <w:numId w:val="1"/>
        </w:numPr>
        <w:spacing w:lineRule="auto" w:line="360"/>
        <w:ind w:left="15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Faculdade</w:t>
      </w:r>
      <w:r>
        <w:rPr>
          <w:rFonts w:eastAsia="Calibri" w:cs="Calibri" w:ascii="Calibri" w:hAnsi="Calibri"/>
          <w:sz w:val="22"/>
          <w:szCs w:val="22"/>
        </w:rPr>
        <w:t xml:space="preserve"> de elaboração: 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 - contratação direta por dispensa de licitação, nos casos previstos nos incisos I, II e III do art. 75 da Lei Federal nº 14.133, de 2021;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II - contratação de licitante remanescente, nos termos do § 7º do art. 90 da Lei Federal nº 14.133, de 2021;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III - casos de guerra, estado de defesa, estado de sítio, intervenção federal ou de grave perturbação da ordem, conforme inciso VII do art. 75 da Lei federal nº 14.133, de 2021; e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IV - emergência ou calamidade pública, conforme inciso VIII do art. 75 da Lei Federal nº 14.133, de 2021.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2" w:name="_30j0zll"/>
      <w:bookmarkStart w:id="3" w:name="_30j0zll"/>
      <w:bookmarkEnd w:id="3"/>
    </w:p>
    <w:p>
      <w:pPr>
        <w:pStyle w:val="Normal1"/>
        <w:numPr>
          <w:ilvl w:val="0"/>
          <w:numId w:val="1"/>
        </w:numPr>
        <w:spacing w:lineRule="auto" w:line="360"/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Conteúdo do ETP: 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Obrigatório:</w:t>
      </w:r>
      <w:r>
        <w:rPr>
          <w:rFonts w:eastAsia="Calibri" w:cs="Calibri" w:ascii="Calibri" w:hAnsi="Calibri"/>
          <w:sz w:val="22"/>
          <w:szCs w:val="22"/>
        </w:rPr>
        <w:t xml:space="preserve"> o ETP deverá conter ao menos os elementos previstos nos itens 2, 5, 7, 10, 15 (incisos I, IV, VI, VIII e XIII do § 1º do art. 18 da Lei Federal nº 14.1333, de 2021).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Demais elementos:</w:t>
      </w:r>
      <w:r>
        <w:rPr>
          <w:rFonts w:eastAsia="Calibri" w:cs="Calibri" w:ascii="Calibri" w:hAnsi="Calibri"/>
          <w:sz w:val="22"/>
          <w:szCs w:val="22"/>
        </w:rPr>
        <w:t xml:space="preserve"> quando não forem contemplados, deve-se apresentar as justificativas. </w:t>
      </w:r>
    </w:p>
    <w:p>
      <w:pPr>
        <w:pStyle w:val="Normal1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548DD4"/>
          <w:sz w:val="22"/>
          <w:szCs w:val="22"/>
        </w:rPr>
      </w:pPr>
      <w:r>
        <w:rPr>
          <w:rFonts w:eastAsia="Calibri" w:cs="Calibri" w:ascii="Calibri" w:hAnsi="Calibri"/>
          <w:i/>
          <w:color w:val="548DD4"/>
          <w:sz w:val="22"/>
          <w:szCs w:val="22"/>
        </w:rPr>
        <w:t>Os tópicos dessa minuta receberam notas explicavas destacadas para compreensão do agente ou setor responsável pela elaboração do estudo, que deverão ser suprimidas quando da finalização do documento.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548DD4"/>
          <w:sz w:val="22"/>
          <w:szCs w:val="22"/>
        </w:rPr>
      </w:pPr>
      <w:r>
        <w:rPr>
          <w:rFonts w:eastAsia="Calibri" w:cs="Calibri" w:ascii="Calibri" w:hAnsi="Calibri"/>
          <w:i/>
          <w:color w:val="548DD4"/>
          <w:sz w:val="22"/>
          <w:szCs w:val="22"/>
        </w:rPr>
        <w:t xml:space="preserve">Esse texto em azul não integra a redação final da minuta e deve ser excluído, assim como todos os comentários destacados ao longo do documento.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ESTUDO TÉCNICO PRELIMINAR - ETP</w:t>
      </w:r>
    </w:p>
    <w:p>
      <w:pPr>
        <w:pStyle w:val="Normal1"/>
        <w:spacing w:lineRule="auto" w:line="240" w:before="120" w:after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Processo SGPe </w:t>
      </w:r>
      <w:r>
        <w:rPr>
          <w:rFonts w:eastAsia="Calibri" w:cs="Calibri" w:ascii="Calibri" w:hAnsi="Calibri"/>
          <w:color w:val="548DD4"/>
          <w:sz w:val="22"/>
          <w:szCs w:val="22"/>
        </w:rPr>
        <w:t>xxxx</w:t>
      </w:r>
      <w:r>
        <w:rPr>
          <w:rFonts w:eastAsia="Calibri" w:cs="Calibri" w:ascii="Calibri" w:hAnsi="Calibri"/>
          <w:sz w:val="22"/>
          <w:szCs w:val="22"/>
        </w:rPr>
        <w:t>/20</w:t>
      </w:r>
    </w:p>
    <w:p>
      <w:pPr>
        <w:pStyle w:val="Normal1"/>
        <w:jc w:val="center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tbl>
      <w:tblPr>
        <w:tblStyle w:val="Table1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I – INFORMAÇÕES GERAIS</w:t>
            </w:r>
          </w:p>
        </w:tc>
      </w:tr>
    </w:tbl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2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1. Equipe de Planejamento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tbl>
            <w:tblPr>
              <w:tblStyle w:val="Table3"/>
              <w:tblW w:w="9168" w:type="dxa"/>
              <w:jc w:val="left"/>
              <w:tblInd w:w="5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923"/>
              <w:gridCol w:w="1292"/>
              <w:gridCol w:w="976"/>
              <w:gridCol w:w="2976"/>
            </w:tblGrid>
            <w:tr>
              <w:trPr/>
              <w:tc>
                <w:tcPr>
                  <w:tcW w:w="3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jc w:val="center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jc w:val="center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18"/>
                      <w:szCs w:val="18"/>
                    </w:rPr>
                    <w:t>Cargo/função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jc w:val="center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18"/>
                      <w:szCs w:val="18"/>
                    </w:rPr>
                    <w:t>Matrícula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jc w:val="center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18"/>
                      <w:szCs w:val="18"/>
                    </w:rPr>
                    <w:t>E-mail</w:t>
                  </w:r>
                </w:p>
              </w:tc>
            </w:tr>
            <w:tr>
              <w:trPr/>
              <w:tc>
                <w:tcPr>
                  <w:tcW w:w="3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3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3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tabs>
                      <w:tab w:val="clear" w:pos="720"/>
                      <w:tab w:val="left" w:pos="1517" w:leader="none"/>
                      <w:tab w:val="left" w:pos="1518" w:leader="none"/>
                    </w:tabs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eastAsia="Calibri" w:cs="Calibri" w:ascii="Calibri" w:hAnsi="Calibri"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ind w:left="196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O ETP deverá ser elaborado conjuntamente por integrantes das áreas solicitante e técnica. Os integrantes das áreas técnica e solicitante, quando for o caso, considerando a complexidade do problema a ser analisado no ETP, poderão solicitar apoio técnico de colaboradores de outras unidades, órgãos ou entidades que detenham competências específicas exigidas para a confecção do documento.</w:t>
            </w:r>
          </w:p>
          <w:p>
            <w:pPr>
              <w:pStyle w:val="Normal1"/>
              <w:widowControl w:val="false"/>
              <w:ind w:left="196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Nos casos em que o órgão ou entidade não possuir quadro de colaboradores suficientes ou aptos, inviabilizando a elaboração conjunta do ETP, será permitida sua confecção de forma individual ou a contratação de terceiro, profissional especializado que preste assessoria técnica, e que auxilie na elaboração do instrumento, observados os impedimentos dispostos no art. 9º da Lei Federal nº 14.133, de 2021, e desde que devidamente justificada a circunstância. (Art. 10).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0000"/>
                <w:sz w:val="22"/>
                <w:szCs w:val="22"/>
              </w:rPr>
            </w:r>
          </w:p>
        </w:tc>
      </w:tr>
    </w:tbl>
    <w:p>
      <w:pPr>
        <w:pStyle w:val="Normal1"/>
        <w:spacing w:lineRule="auto" w:line="360"/>
        <w:jc w:val="center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</w:r>
    </w:p>
    <w:tbl>
      <w:tblPr>
        <w:tblStyle w:val="Table4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II – DIAGNÓSTICO SITUAÇÃO ATUAL</w:t>
            </w:r>
          </w:p>
        </w:tc>
      </w:tr>
    </w:tbl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5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right="225" w:hanging="3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 xml:space="preserve">Descrição do problema a ser resolvido ou da necessidade apresentada </w:t>
            </w: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</w:rPr>
              <w:t>(art. 18, § 1º, I, da Lei Federal nº 14.133, de 2021).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color w:val="548DD4"/>
                <w:highlight w:val="yellow"/>
              </w:rPr>
            </w:pPr>
            <w:r>
              <w:rPr>
                <w:rFonts w:eastAsia="Calibri" w:cs="Calibri" w:ascii="Calibri" w:hAnsi="Calibri"/>
                <w:b/>
                <w:color w:val="548DD4"/>
                <w:sz w:val="22"/>
                <w:szCs w:val="22"/>
              </w:rPr>
              <w:t>(PREENCHIMENTO OBRIGATÓRIO)</w:t>
            </w:r>
          </w:p>
          <w:p>
            <w:pPr>
              <w:pStyle w:val="Normal1"/>
              <w:widowControl w:val="false"/>
              <w:ind w:left="196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O ETP deverá evidenciar o problema a ser resolvido de modo a permitir a avaliação da viabilidade técnica e econômica da contratação, para tanto deve ser abordada aqui a situação atual, apontando o contexto do órgão/entidade, qual o problema/ interesse público a ser atendido, como o órgão/entidade vem lidando atualmente com esse problema, qual o valor já desprendido pela organização etc.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548DD4"/>
                <w:sz w:val="22"/>
                <w:szCs w:val="22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right="225" w:hanging="3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 xml:space="preserve">Demonstração da previsão da contratação com o Plano Anual de Compras </w:t>
            </w:r>
            <w:r>
              <w:rPr>
                <w:rFonts w:eastAsia="Calibri" w:cs="Calibri" w:ascii="Calibri" w:hAnsi="Calibri"/>
                <w:b/>
                <w:color w:val="FFFFFF"/>
                <w:sz w:val="24"/>
                <w:szCs w:val="24"/>
              </w:rPr>
              <w:t>(art. 18, § 1º, II, da Lei Federal nº 14.133, de 2021).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360"/>
              <w:ind w:left="196" w:hanging="0"/>
              <w:jc w:val="both"/>
              <w:rPr>
                <w:rFonts w:ascii="Calibri" w:hAnsi="Calibri" w:eastAsia="Calibri" w:cs="Calibri"/>
                <w:color w:val="4472C4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548DD4"/>
              </w:rPr>
              <w:t>Deverá ser demonstrado o alinhamento entre a potencial contratação e o planejamento do órgão/entidade a partir da previsão no Plano Anual de Compras.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Descrição dos requisitos da potencial contratação (art. 18, § 1º, III,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Deve-se descrever os requisitos necessários ao atendimento da demanda. e os padrões mínimos, de forma a permitir a seleção da proposta mais vantajosa.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Que requisitos são indispensáveis?</w:t>
            </w:r>
            <w:r>
              <w:rPr>
                <w:rFonts w:eastAsia="Calibri" w:cs="Calibri" w:ascii="Calibri" w:hAnsi="Calibri"/>
                <w:color w:val="548DD4"/>
              </w:rPr>
              <w:t xml:space="preserve"> Exemplos: disponibilização de profissionais especializados, solução tecnológica, fornecimento de materiais, etc.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Quais são os padrões mínimos de qualidade?</w:t>
            </w:r>
            <w:r>
              <w:rPr>
                <w:rFonts w:eastAsia="Calibri" w:cs="Calibri" w:ascii="Calibri" w:hAnsi="Calibri"/>
                <w:color w:val="548DD4"/>
              </w:rPr>
              <w:t xml:space="preserve"> Exemplos: especificações técnicas, necessidade de amostras, etc.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Qual a duração do contrato?</w:t>
            </w:r>
            <w:r>
              <w:rPr>
                <w:rFonts w:eastAsia="Calibri" w:cs="Calibri" w:ascii="Calibri" w:hAnsi="Calibri"/>
                <w:color w:val="548DD4"/>
              </w:rPr>
              <w:t xml:space="preserve"> A duração servirá de base para que a análise de vantajosidade na contratação anual ou plurianual.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Estimativas das quantidades para contratação, acompanhadas de memórias de cálculo e dos documentos que lhe dão suporte (considerar interdependências com outras contratações, de modo a possibilitar economia de escala) (art. 18, § 1º, IV, da Lei Federal nº 14.133, de 2021).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color w:val="548DD4"/>
                <w:highlight w:val="yellow"/>
              </w:rPr>
            </w:pPr>
            <w:r>
              <w:rPr>
                <w:rFonts w:eastAsia="Calibri" w:cs="Calibri" w:ascii="Calibri" w:hAnsi="Calibri"/>
                <w:b/>
                <w:color w:val="548DD4"/>
                <w:sz w:val="22"/>
                <w:szCs w:val="22"/>
              </w:rPr>
              <w:t>(PREENCHIMENTO OBRIGATÓRIO)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As quantidades devem ser estimadas com base em dados como série histórica de consumo, análise de tendência de queda ou alta. A justificativa deve ser acompanhada de documentos comprobatórios.</w:t>
            </w:r>
          </w:p>
        </w:tc>
      </w:tr>
    </w:tbl>
    <w:p>
      <w:pPr>
        <w:pStyle w:val="Normal1"/>
        <w:spacing w:lineRule="auto" w:line="36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6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 xml:space="preserve">III – PROSPECÇÃO DE SOLUÇÕES </w:t>
            </w:r>
          </w:p>
        </w:tc>
      </w:tr>
    </w:tbl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7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60" w:hanging="3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Levantamento mercadológico (que consiste na análise das alternativas possíveis, e justificativa técnica e econômica da escolha do tipo de solução a contratar) (art. 18, § 1º, V, da Lei Federal nº 14.133, de 2021).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O levantamento mercadológico é a etapa onde se deve pesquisar e avaliar as alternativas possíveis de soluções para o problema descrito com o objetivo de identificar no mercado a existência de metodologias, tecnologias e soluções que melhor atendam às necessidades do órgão/entidade.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A pesquisa deve buscar o maior número de fontes possíveis, como contratações similares, pesquisa com fornecedores, publicações especializadas, consulta pública etc.</w:t>
            </w:r>
          </w:p>
          <w:p>
            <w:pPr>
              <w:pStyle w:val="Normal1"/>
              <w:widowControl w:val="false"/>
              <w:ind w:left="196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Caso, após o levantamento do mercado, a quantidade de fornecedores for considerada restrita, deve-se verificar se os requisitos que limitam a participação são realmente indispensáveis, flexibilizando-os sempre que possível. (Art. 11 § 3º)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60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Estimativa do valor da contratação (art. 18, § 1º, VI, da Lei Federal nº 14.133, de 2021).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Arial" w:hAnsi="Arial" w:eastAsia="Arial" w:cs="Arial"/>
                <w:color w:val="548DD4"/>
                <w:highlight w:val="yellow"/>
              </w:rPr>
            </w:pPr>
            <w:r>
              <w:rPr>
                <w:rFonts w:eastAsia="Calibri" w:cs="Calibri" w:ascii="Calibri" w:hAnsi="Calibri"/>
                <w:b/>
                <w:color w:val="548DD4"/>
                <w:sz w:val="22"/>
                <w:szCs w:val="22"/>
              </w:rPr>
              <w:t>(PREENCHIMENTO OBRIGATÓRIO)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A estimativa do valor da contratação busca avaliar a viabilidade econômica financeira da contratação, não devendo ser confundida com a pesquisa para elaboração de preço referência para a futura licitação.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A estimativa deve vir acompanhada de preços unitários referenciais, das memórias de cálculo e dos documentos que lhe dão suporte (poderão constar de peça sigilosa se o órgão/entidade optar por preservar o seu sigilo até a conclusão da licitação).</w:t>
            </w:r>
          </w:p>
          <w:p>
            <w:pPr>
              <w:pStyle w:val="Normal1"/>
              <w:widowControl w:val="false"/>
              <w:spacing w:lineRule="auto" w:line="240" w:before="0" w:after="360"/>
              <w:ind w:left="196" w:hanging="0"/>
              <w:jc w:val="both"/>
              <w:rPr>
                <w:rFonts w:ascii="Calibri" w:hAnsi="Calibri" w:eastAsia="Calibri" w:cs="Calibri"/>
                <w:color w:val="4472C4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548DD4"/>
              </w:rPr>
              <w:t>Além do valor do objeto, devem ser avaliados custos adicionais que poderão advir da contratação, como peças, reformas, necessidade de contratação de pessoal, etc.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60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Comparativo das soluções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 xml:space="preserve">O comparativo visa demonstrar as vantagens e desvantagens de cada uma das soluções a fim de sistematizar e subsidiar a tomada de decisão e deve trazer documentos comprobatórios da análise.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 xml:space="preserve">A análise deve se basear, no mínimo, nos seguintes critérios: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I - vantajosidade econômica, preferencialmente pela comparação do custo total das soluções propostas e da solução atual, quando for o caso;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II - ganhos de eficiência administrativa, pela economia de tempo, de recursos materiais e de pessoal;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III - continuidade sustentável do modelo de fornecimento do bem ou da prestação de serviço para a Administração;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IV - sustentabilidade social e ambiental, por meio da consideração de objetivos secundários da política de compras públicas;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V - incorporação de tecnologias que permitam ganhos de eficiência, exatidão, segurança, transparência, impessoalidade, padronização ou controle;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VI - possibilidade de compra ou de locação de bens, a serem avaliados os custos e os benefícios de cada opção para escolha da alternativa mais vantajosa; e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VII - opções menos onerosas à Administração, tais como chamamentos públicos de doação e permutas (Art. 17)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Em caso de possibilidade de compra ou locação de bens, devem ser avaliados os custos e os benefícios de cada opção para a escolha da alternativa mais vantajosa.</w:t>
            </w:r>
          </w:p>
          <w:p>
            <w:pPr>
              <w:pStyle w:val="Normal1"/>
              <w:widowControl w:val="false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</w:r>
          </w:p>
          <w:tbl>
            <w:tblPr>
              <w:tblStyle w:val="Table8"/>
              <w:tblW w:w="934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1868"/>
              <w:gridCol w:w="1869"/>
              <w:gridCol w:w="1869"/>
              <w:gridCol w:w="1869"/>
              <w:gridCol w:w="1869"/>
            </w:tblGrid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Requisitos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Solução 1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Solução 2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Solução (...)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Solução N</w:t>
                  </w:r>
                </w:p>
              </w:tc>
            </w:tr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Requisito 1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atende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não atende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</w:tr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Requisito 2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</w:tr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Requisito (...)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</w:tr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i/>
                      <w:color w:val="4F81BD"/>
                      <w:highlight w:val="lightGray"/>
                    </w:rPr>
                    <w:t>Requisito N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  <w:highlight w:val="lightGray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</w:r>
                </w:p>
              </w:tc>
            </w:tr>
            <w:tr>
              <w:trPr/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  <w:highlight w:val="lightGray"/>
                    </w:rPr>
                    <w:t>Estimativa de valor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</w:rPr>
                    <w:t>R$</w:t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</w:rPr>
                  </w:r>
                </w:p>
              </w:tc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360"/>
                    <w:jc w:val="both"/>
                    <w:rPr>
                      <w:rFonts w:ascii="Calibri" w:hAnsi="Calibri" w:eastAsia="Calibri" w:cs="Calibri"/>
                      <w:color w:val="4F81BD"/>
                    </w:rPr>
                  </w:pPr>
                  <w:r>
                    <w:rPr>
                      <w:rFonts w:eastAsia="Calibri" w:cs="Calibri" w:ascii="Calibri" w:hAnsi="Calibri"/>
                      <w:color w:val="4F81BD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color w:val="4F81BD"/>
              </w:rPr>
            </w:pPr>
            <w:r>
              <w:rPr>
                <w:rFonts w:eastAsia="Calibri" w:cs="Calibri" w:ascii="Calibri" w:hAnsi="Calibri"/>
                <w:color w:val="4F81BD"/>
              </w:rPr>
              <w:t>Exemplo de quadro comparativo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</w:tc>
      </w:tr>
    </w:tbl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9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 xml:space="preserve">IV – SOLUÇÃO ESCOLHIDA </w:t>
            </w:r>
          </w:p>
        </w:tc>
      </w:tr>
    </w:tbl>
    <w:p>
      <w:pPr>
        <w:pStyle w:val="Normal1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10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Descrição da solução escolhida (art. 18, § 1º, VII,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Nota:</w:t>
            </w:r>
          </w:p>
          <w:p>
            <w:pPr>
              <w:pStyle w:val="Normal1"/>
              <w:widowControl w:val="false"/>
              <w:ind w:left="196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Descrever a solução escolhida com todos os elementos para que a contratação produza os resultados pretendidos pela administração. Trata-se da descrição da solução como um todo, inclusive das exigências relacionadas à manutenção e assistência técnica, quando for o caso. Deve-se mencionar se será uma aquisição de material ou contratação de um serviço, se será anual ou plurianual, se há necessidade de mais de uma contratação para viabilizar a solução, etc.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Justificativas para o parcelamento ou não da contratação (art. 18, § 1º, VIII,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  <w:sz w:val="22"/>
                <w:szCs w:val="22"/>
              </w:rPr>
              <w:t>(PREENCHIMENTO OBRIGATÓRIO)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Considerando que o parcelamento da solução é a regra, a contratação deve ser realizada por item sempre que o objeto for divisível, desde que se verifique não haver prejuízo para o conjunto da solução ou a perda de economia de escala.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A definição e o método para avaliar se o objeto é divisível, deve levar em consideração o mercado fornecedor, podendo ser parcelado caso a contratação nesses moldes assegure, concomitantemente: ser técnica e economicamente viável; que não haverá perda de escala e que haverá melhor aproveitamento do mercado e ampliação da competitividade.</w:t>
            </w:r>
          </w:p>
          <w:p>
            <w:pPr>
              <w:pStyle w:val="Normal1"/>
              <w:widowControl w:val="false"/>
              <w:spacing w:lineRule="auto" w:line="240" w:before="0" w:after="360"/>
              <w:ind w:left="196" w:hanging="0"/>
              <w:jc w:val="both"/>
              <w:rPr>
                <w:rFonts w:ascii="Calibri" w:hAnsi="Calibri" w:eastAsia="Calibri" w:cs="Calibri"/>
                <w:color w:val="4472C4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548DD4"/>
              </w:rPr>
              <w:t>Em resumo, com base nos estudos no ETP, deve-se informar se a licitação será dividida em lotes ou em itens separados e justificar a decisão.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Contratações correlatas e/ou interdependentes (art. 18, § 1º, XI,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Nota: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Contratações correlatas: aquela que guarda relação com a solução a ser contratada, interligando-se a ela, mas que não precisa, necessariamente, ser realizada para a completa satisfação da necessidade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Contratações interdependentes: aquela que precisa ser realizada juntamente com a solução a ser contratada para a completa satisfação da necessidade (Art. 18).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 xml:space="preserve"> </w:t>
            </w:r>
            <w:r>
              <w:rPr>
                <w:rFonts w:eastAsia="Calibri" w:cs="Calibri" w:ascii="Calibri" w:hAnsi="Calibri"/>
                <w:color w:val="548DD4"/>
              </w:rPr>
              <w:t>Descrever se há necessidade de contratações/aquisições correlatas. Realizar levantamento de ações necessárias para que a contratação surta seus efeitos, como por exemplo, capacitações, aquisições de materiais, reformas, dentre outros. Caso haja ações necessárias, juntar cronograma ao processo e incluir, no mapa de riscos, os riscos de a contratação fracassar caso as contratações correlatas ou interdependentes não ocorram em tempo hábil.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  <w:sz w:val="12"/>
                <w:szCs w:val="12"/>
              </w:rPr>
            </w:pPr>
            <w:r>
              <w:rPr>
                <w:rFonts w:eastAsia="Calibri" w:cs="Calibri" w:ascii="Calibri" w:hAnsi="Calibri"/>
                <w:color w:val="548DD4"/>
                <w:sz w:val="12"/>
                <w:szCs w:val="12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Providências a serem adotadas pela Administração previamente à celebração do contrato (art. 18, § 1º, X,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  <w:sz w:val="12"/>
                <w:szCs w:val="12"/>
              </w:rPr>
            </w:pPr>
            <w:r>
              <w:rPr>
                <w:rFonts w:eastAsia="Calibri" w:cs="Calibri" w:ascii="Calibri" w:hAnsi="Calibri"/>
                <w:color w:val="548DD4"/>
                <w:sz w:val="12"/>
                <w:szCs w:val="12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Identificar as ações necessárias para que a contratação surta seus efeitos, considerando os riscos de a contratação restar prejudicada caso os ajustes não ocorram em tempo. Exemplo: necessidade de transição contratual com transferência de conhecimento, tecnologia e técnicas empregadas, necessidade de capacitação, necessidade de realocação de pessoal, etc.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Possíveis impactos ambientais e respectivas medidas mitigadoras (art. 18, § 1º, XII,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ind w:left="284" w:hanging="0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Descrever os possíveis impactos ambientais e respectivas medidas de tratamento ou mitigadoras buscando sanar os riscos ambientais existentes, bem como avaliar se há possibilidade de inclusão de critérios de sustentabilidade na contratação.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Resultados pretendidos (art. 18, § 1º, IX,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360"/>
              <w:ind w:left="196" w:hanging="0"/>
              <w:jc w:val="both"/>
              <w:rPr>
                <w:rFonts w:ascii="Calibri" w:hAnsi="Calibri" w:eastAsia="Calibri" w:cs="Calibri"/>
                <w:color w:val="4472C4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548DD4"/>
              </w:rPr>
              <w:t>Descrever de forma mensurável e realista os benefícios diretos e indiretos que o órgão/entidade busca com a contratação da solução, avaliando economicidade, eficiência, melhor aproveitamento dos recursos humanos, materiais e financeiros disponíveis, melhoria da qualidade de produtos ou serviços, etc.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65F91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ind w:left="426" w:hanging="360"/>
              <w:rPr>
                <w:rFonts w:ascii="Calibri" w:hAnsi="Calibri" w:eastAsia="Calibri" w:cs="Calibri"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Posicionamento conclusivo sobre a adequação da contratação para o atendimento da necessidade a que se destina (art. 18, § 1º, XIII, da Lei Federal nº 14.133, de 2021)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 xml:space="preserve">Nota: 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b/>
                <w:color w:val="548DD4"/>
              </w:rPr>
              <w:t>(PREENCHIMENTO OBRIGATÓRIO)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</w:rPr>
            </w:pPr>
            <w:r>
              <w:rPr>
                <w:rFonts w:eastAsia="Calibri" w:cs="Calibri" w:ascii="Calibri" w:hAnsi="Calibri"/>
                <w:color w:val="548DD4"/>
              </w:rPr>
              <w:t>Realizar declaração sobre a viabilidade e a razoabilidade da solução escolhida pela equipe de planejamento.</w:t>
            </w:r>
          </w:p>
          <w:p>
            <w:pPr>
              <w:pStyle w:val="Normal1"/>
              <w:widowControl w:val="false"/>
              <w:spacing w:lineRule="auto" w:line="240" w:before="0" w:after="120"/>
              <w:ind w:left="196" w:right="-33" w:hanging="0"/>
              <w:jc w:val="both"/>
              <w:rPr>
                <w:rFonts w:ascii="Calibri" w:hAnsi="Calibri" w:eastAsia="Calibri" w:cs="Calibri"/>
                <w:color w:val="548DD4"/>
                <w:sz w:val="12"/>
                <w:szCs w:val="12"/>
              </w:rPr>
            </w:pPr>
            <w:r>
              <w:rPr>
                <w:rFonts w:eastAsia="Calibri" w:cs="Calibri" w:ascii="Calibri" w:hAnsi="Calibri"/>
                <w:color w:val="548DD4"/>
                <w:sz w:val="12"/>
                <w:szCs w:val="12"/>
              </w:rPr>
            </w:r>
          </w:p>
        </w:tc>
      </w:tr>
    </w:tbl>
    <w:p>
      <w:pPr>
        <w:pStyle w:val="Normal1"/>
        <w:spacing w:lineRule="auto" w:line="360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</w:r>
    </w:p>
    <w:p>
      <w:pPr>
        <w:pStyle w:val="Normal1"/>
        <w:ind w:left="7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spacing w:lineRule="auto" w:line="360"/>
        <w:ind w:left="2268" w:hanging="0"/>
        <w:jc w:val="both"/>
        <w:rPr>
          <w:color w:val="C00000"/>
        </w:rPr>
      </w:pPr>
      <w:r>
        <w:rPr>
          <w:color w:val="C00000"/>
        </w:rPr>
      </w:r>
    </w:p>
    <w:p>
      <w:pPr>
        <w:pStyle w:val="Normal1"/>
        <w:ind w:left="567" w:right="885" w:hanging="0"/>
        <w:jc w:val="both"/>
        <w:rPr>
          <w:rFonts w:ascii="Calibri" w:hAnsi="Calibri" w:eastAsia="Calibri" w:cs="Calibri"/>
          <w:color w:val="38761D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850" w:gutter="0" w:header="283" w:top="1134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Proxima Nova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  <w:p>
    <w:pPr>
      <w:pStyle w:val="Normal1"/>
      <w:rPr/>
    </w:pPr>
    <w:r>
      <w:rPr/>
    </w:r>
  </w:p>
  <w:tbl>
    <w:tblPr>
      <w:tblStyle w:val="Table12"/>
      <w:tblW w:w="9645" w:type="dxa"/>
      <w:jc w:val="left"/>
      <w:tblInd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600"/>
    </w:tblPr>
    <w:tblGrid>
      <w:gridCol w:w="7074"/>
      <w:gridCol w:w="2570"/>
    </w:tblGrid>
    <w:tr>
      <w:trPr>
        <w:trHeight w:val="280" w:hRule="atLeast"/>
      </w:trPr>
      <w:tc>
        <w:tcPr>
          <w:tcW w:w="7074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bottom"/>
        </w:tcPr>
        <w:p>
          <w:pPr>
            <w:pStyle w:val="Normal1"/>
            <w:widowControl w:val="false"/>
            <w:spacing w:lineRule="auto" w:line="276"/>
            <w:jc w:val="center"/>
            <w:rPr>
              <w:rFonts w:ascii="Arial" w:hAnsi="Arial" w:eastAsia="Arial" w:cs="Arial"/>
              <w:b/>
              <w:b/>
              <w:color w:val="999999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999999"/>
              <w:sz w:val="16"/>
              <w:szCs w:val="16"/>
            </w:rPr>
            <w:t>Estudo Técnico Preliminar</w:t>
          </w:r>
        </w:p>
      </w:tc>
      <w:tc>
        <w:tcPr>
          <w:tcW w:w="2570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bottom"/>
        </w:tcPr>
        <w:p>
          <w:pPr>
            <w:pStyle w:val="Normal1"/>
            <w:widowControl w:val="false"/>
            <w:spacing w:lineRule="auto" w:line="276"/>
            <w:rPr>
              <w:rFonts w:ascii="Arial" w:hAnsi="Arial" w:eastAsia="Arial" w:cs="Arial"/>
              <w:b/>
              <w:b/>
              <w:color w:val="999999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999999"/>
              <w:sz w:val="16"/>
              <w:szCs w:val="16"/>
            </w:rPr>
            <w:t>Modelo DGLC 002</w:t>
          </w:r>
        </w:p>
      </w:tc>
    </w:tr>
    <w:tr>
      <w:trPr>
        <w:trHeight w:val="280" w:hRule="atLeast"/>
      </w:trPr>
      <w:tc>
        <w:tcPr>
          <w:tcW w:w="7074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bottom"/>
        </w:tcPr>
        <w:p>
          <w:pPr>
            <w:pStyle w:val="Normal1"/>
            <w:widowControl w:val="false"/>
            <w:spacing w:lineRule="auto" w:line="276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eastAsia="Arial" w:cs="Arial" w:ascii="Arial" w:hAnsi="Arial"/>
              <w:color w:val="999999"/>
              <w:sz w:val="16"/>
              <w:szCs w:val="16"/>
            </w:rPr>
            <w:t xml:space="preserve">Diretoria de Gestão de Licitações e Contratos </w:t>
          </w:r>
        </w:p>
      </w:tc>
      <w:tc>
        <w:tcPr>
          <w:tcW w:w="2570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bottom"/>
        </w:tcPr>
        <w:p>
          <w:pPr>
            <w:pStyle w:val="Normal1"/>
            <w:widowControl w:val="false"/>
            <w:spacing w:lineRule="auto" w:line="276"/>
            <w:rPr>
              <w:rFonts w:ascii="Arial" w:hAnsi="Arial" w:eastAsia="Arial" w:cs="Arial"/>
              <w:color w:val="999999"/>
              <w:sz w:val="16"/>
              <w:szCs w:val="16"/>
            </w:rPr>
          </w:pPr>
          <w:r>
            <w:rPr>
              <w:rFonts w:eastAsia="Arial" w:cs="Arial" w:ascii="Arial" w:hAnsi="Arial"/>
              <w:color w:val="999999"/>
              <w:sz w:val="16"/>
              <w:szCs w:val="16"/>
            </w:rPr>
            <w:t>Versão 1 em 01/02/2023</w:t>
          </w:r>
        </w:p>
      </w:tc>
    </w:tr>
  </w:tbl>
  <w:p>
    <w:pPr>
      <w:pStyle w:val="Normal1"/>
      <w:rPr>
        <w:rFonts w:ascii="Proxima Nova" w:hAnsi="Proxima Nova" w:eastAsia="Proxima Nova" w:cs="Proxima Nova"/>
        <w:sz w:val="16"/>
        <w:szCs w:val="16"/>
      </w:rPr>
    </w:pPr>
    <w:r>
      <w:rPr>
        <w:rFonts w:eastAsia="Proxima Nova" w:cs="Proxima Nova" w:ascii="Proxima Nova" w:hAnsi="Proxima Nov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5504180</wp:posOffset>
          </wp:positionH>
          <wp:positionV relativeFrom="page">
            <wp:posOffset>597535</wp:posOffset>
          </wp:positionV>
          <wp:extent cx="1511935" cy="23431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11"/>
      <w:tblW w:w="10830" w:type="dxa"/>
      <w:jc w:val="left"/>
      <w:tblInd w:w="-114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133"/>
      <w:gridCol w:w="9696"/>
    </w:tblGrid>
    <w:tr>
      <w:trPr>
        <w:trHeight w:val="879" w:hRule="atLeast"/>
      </w:trPr>
      <w:tc>
        <w:tcPr>
          <w:tcW w:w="11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Normal1"/>
            <w:widowControl w:val="false"/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</w:rPr>
          </w:pPr>
          <w:r>
            <w:rPr/>
            <w:drawing>
              <wp:inline distT="0" distB="0" distL="0" distR="0">
                <wp:extent cx="525145" cy="577850"/>
                <wp:effectExtent l="0" t="0" r="0" b="0"/>
                <wp:docPr id="2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Normal1"/>
            <w:widowControl w:val="false"/>
            <w:spacing w:lineRule="auto" w:line="240" w:before="0" w:after="0"/>
            <w:ind w:left="0" w:right="34" w:hanging="0"/>
            <w:jc w:val="left"/>
            <w:rPr>
              <w:rFonts w:ascii="Arial" w:hAnsi="Arial" w:eastAsia="Arial" w:cs="Arial"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color w:val="000000"/>
              <w:sz w:val="22"/>
              <w:szCs w:val="22"/>
            </w:rPr>
            <w:t>ESTADO DE SANTA CATARINA</w:t>
          </w:r>
        </w:p>
        <w:p>
          <w:pPr>
            <w:pStyle w:val="Normal1"/>
            <w:widowControl w:val="false"/>
            <w:spacing w:lineRule="auto" w:line="240" w:before="0" w:after="0"/>
            <w:ind w:left="0" w:right="34" w:hanging="0"/>
            <w:jc w:val="left"/>
            <w:rPr>
              <w:rFonts w:ascii="Arial" w:hAnsi="Arial" w:eastAsia="Arial" w:cs="Arial"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color w:val="000000"/>
              <w:sz w:val="22"/>
              <w:szCs w:val="22"/>
            </w:rPr>
            <w:t>NOME DO ÓRGÃO</w:t>
          </w:r>
        </w:p>
        <w:p>
          <w:pPr>
            <w:pStyle w:val="Normal1"/>
            <w:widowControl w:val="false"/>
            <w:spacing w:lineRule="auto" w:line="240" w:before="0" w:after="0"/>
            <w:ind w:left="0" w:right="34" w:hanging="0"/>
            <w:jc w:val="left"/>
            <w:rPr>
              <w:rFonts w:ascii="Arial" w:hAnsi="Arial" w:eastAsia="Arial" w:cs="Arial"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color w:val="000000"/>
              <w:sz w:val="22"/>
              <w:szCs w:val="22"/>
            </w:rPr>
            <w:t>NOME DO SETOR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7143" w:leader="none"/>
        <w:tab w:val="right" w:pos="14287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232323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444444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23232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 w:val="false"/>
      <w:i/>
      <w:caps w:val="false"/>
      <w:smallCaps w:val="false"/>
      <w:strike w:val="false"/>
      <w:dstrike w:val="false"/>
      <w:color w:val="444444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4</Pages>
  <Words>1875</Words>
  <Characters>10330</Characters>
  <CharactersWithSpaces>12095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